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3"/>
        <w:ind w:left="5953" w:right="140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Приложение 2</w:t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63"/>
        <w:ind w:left="5953" w:right="140"/>
        <w:jc w:val="both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</w:r>
      <w:r>
        <w:rPr>
          <w:rFonts w:ascii="Liberation Serif" w:hAnsi="Liberation Serif" w:cs="Liberation Serif"/>
          <w:b w:val="0"/>
          <w:szCs w:val="24"/>
        </w:rPr>
      </w:r>
    </w:p>
    <w:p>
      <w:pPr>
        <w:pStyle w:val="863"/>
        <w:ind w:left="5953" w:right="140"/>
        <w:rPr>
          <w:rFonts w:ascii="Liberation Serif" w:hAnsi="Liberation Serif" w:cs="Liberation Serif"/>
          <w:b w:val="0"/>
          <w:szCs w:val="24"/>
        </w:rPr>
      </w:pPr>
      <w:r>
        <w:rPr>
          <w:rFonts w:ascii="Liberation Serif" w:hAnsi="Liberation Serif" w:cs="Liberation Serif"/>
          <w:b w:val="0"/>
          <w:szCs w:val="24"/>
        </w:rPr>
        <w:t xml:space="preserve">к Положению о муниципальном контроле в сфере благоустройства на территории Артемовского городского округа</w:t>
      </w:r>
      <w:r>
        <w:rPr>
          <w:rFonts w:ascii="Liberation Serif" w:hAnsi="Liberation Serif" w:cs="Liberation Serif"/>
          <w:b w:val="0"/>
          <w:szCs w:val="24"/>
        </w:rPr>
      </w:r>
    </w:p>
    <w:p>
      <w:pPr>
        <w:ind w:right="140" w:firstLine="567"/>
        <w:jc w:val="both"/>
        <w:spacing w:line="360" w:lineRule="auto"/>
        <w:tabs>
          <w:tab w:val="left" w:pos="482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65"/>
        <w:ind w:right="140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ПЕРЕЧЕНЬ ИНДИКАТОРОВ РИСКА</w:t>
      </w:r>
      <w:r>
        <w:rPr>
          <w:rFonts w:cs="Times New Roman"/>
          <w:b/>
          <w:lang w:val="ru-RU"/>
        </w:rPr>
      </w:r>
    </w:p>
    <w:p>
      <w:pPr>
        <w:pStyle w:val="865"/>
        <w:ind w:right="140"/>
        <w:jc w:val="center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 xml:space="preserve"> нарушения обязательных требований, используемых для осуществления муниципального контроля в сфере благоустройства и порядок их выявления</w:t>
      </w:r>
      <w:r>
        <w:rPr>
          <w:rFonts w:cs="Times New Roman"/>
          <w:b/>
          <w:lang w:val="ru-RU"/>
        </w:rPr>
      </w:r>
    </w:p>
    <w:p>
      <w:pPr>
        <w:pStyle w:val="865"/>
        <w:ind w:right="140"/>
        <w:jc w:val="center"/>
        <w:rPr>
          <w:rFonts w:cs="Times New Roman"/>
          <w:lang w:val="ru-RU"/>
        </w:rPr>
      </w:pPr>
      <w:r>
        <w:rPr>
          <w:rFonts w:cs="Times New Roman"/>
          <w:lang w:val="ru-RU"/>
        </w:rPr>
      </w:r>
      <w:r>
        <w:rPr>
          <w:rFonts w:cs="Times New Roman"/>
          <w:lang w:val="ru-RU"/>
        </w:rPr>
      </w:r>
    </w:p>
    <w:p>
      <w:pPr>
        <w:pStyle w:val="865"/>
        <w:ind w:right="140" w:firstLine="709"/>
        <w:jc w:val="both"/>
        <w:spacing w:line="348" w:lineRule="auto"/>
        <w:rPr>
          <w:rFonts w:cs="Times New Roman"/>
          <w:highlight w:val="none"/>
          <w:lang w:val="ru-RU"/>
        </w:rPr>
      </w:pPr>
      <w:r>
        <w:rPr>
          <w:rFonts w:cs="Times New Roman"/>
          <w:lang w:val="ru-RU"/>
        </w:rPr>
        <w:t xml:space="preserve">1. Перечень индикаторов риска нарушения обязательных требований, используемых для осуществления муниципального контроля в области благоустройства:</w:t>
      </w:r>
      <w:r/>
    </w:p>
    <w:p>
      <w:pPr>
        <w:pStyle w:val="865"/>
        <w:ind w:right="140" w:firstLine="709"/>
        <w:jc w:val="both"/>
        <w:spacing w:line="348" w:lineRule="auto"/>
        <w:rPr>
          <w:strike/>
          <w:highlight w:val="lightGray"/>
        </w:rPr>
      </w:pPr>
      <w:r>
        <w:rPr>
          <w:rFonts w:cs="Times New Roman"/>
          <w:strike/>
          <w:highlight w:val="lightGray"/>
          <w:lang w:val="ru-RU"/>
        </w:rPr>
        <w:t xml:space="preserve">1) увеличение в 2 и более раза числа дорожно-транспортных происшествий за месяц в сравнении с предыдущим аналогичным периодом текущего года на автомобильных дорогах общего пользования местного значения Артемовского городского округа (ОМСУ) в радиусе 50 метр</w:t>
      </w:r>
      <w:r>
        <w:rPr>
          <w:rFonts w:cs="Times New Roman"/>
          <w:strike/>
          <w:highlight w:val="lightGray"/>
          <w:lang w:val="ru-RU"/>
        </w:rPr>
        <w:t xml:space="preserve">ов от места производства земляных работ на основании данных управлением Госавтоинспекции УМВД России по Приморскому краю, его территориальных подразделений;</w:t>
      </w:r>
      <w:r>
        <w:rPr>
          <w:rFonts w:cs="Times New Roman"/>
          <w:strike/>
          <w:highlight w:val="lightGray"/>
          <w:lang w:val="ru-RU"/>
        </w:rPr>
      </w:r>
    </w:p>
    <w:p>
      <w:pPr>
        <w:pStyle w:val="865"/>
        <w:ind w:right="140" w:firstLine="709"/>
        <w:jc w:val="both"/>
        <w:spacing w:line="348" w:lineRule="auto"/>
        <w:rPr>
          <w:rFonts w:cs="Times New Roman"/>
          <w:strike/>
          <w:highlight w:val="lightGray"/>
        </w:rPr>
      </w:pPr>
      <w:r>
        <w:rPr>
          <w:rFonts w:cs="Times New Roman"/>
          <w:strike/>
          <w:highlight w:val="lightGray"/>
          <w:lang w:val="ru-RU"/>
        </w:rPr>
        <w:t xml:space="preserve">2) наличие не менее 3 (или другое число, но не менее) обращений граждан за 7 календарных дней в травматологические пункты учреждений здравоохранения Приморского края по факту получения травмы в связи с неблагоприятными погодными условиями (гололед, подтопле</w:t>
      </w:r>
      <w:r>
        <w:rPr>
          <w:rFonts w:cs="Times New Roman"/>
          <w:strike/>
          <w:highlight w:val="lightGray"/>
          <w:lang w:val="ru-RU"/>
        </w:rPr>
        <w:t xml:space="preserve">ние и т.п.) на территориях, находящихся на обслуживании одного хозяйствующего субъекта;</w:t>
      </w:r>
      <w:r>
        <w:rPr>
          <w:rFonts w:cs="Times New Roman"/>
          <w:strike/>
          <w:highlight w:val="lightGray"/>
          <w:lang w:val="ru-RU"/>
        </w:rPr>
      </w:r>
      <w:r>
        <w:rPr>
          <w:rFonts w:cs="Times New Roman"/>
          <w:strike/>
          <w:highlight w:val="lightGray"/>
          <w:lang w:val="ru-RU"/>
        </w:rPr>
      </w:r>
    </w:p>
    <w:p>
      <w:pPr>
        <w:pStyle w:val="865"/>
        <w:ind w:right="140" w:firstLine="709"/>
        <w:jc w:val="both"/>
        <w:spacing w:line="348" w:lineRule="auto"/>
        <w:rPr>
          <w:highlight w:val="yellow"/>
        </w:rPr>
      </w:pPr>
      <w:r>
        <w:rPr>
          <w:rFonts w:cs="Times New Roman"/>
          <w:highlight w:val="yellow"/>
          <w:lang w:val="ru-RU"/>
        </w:rPr>
        <w:t xml:space="preserve">1) трехкратный и </w:t>
      </w:r>
      <w:r>
        <w:rPr>
          <w:rFonts w:cs="Times New Roman"/>
          <w:highlight w:val="yellow"/>
          <w:lang w:val="ru-RU"/>
        </w:rPr>
        <w:t xml:space="preserve">более рост количества обращений</w:t>
      </w:r>
      <w:r>
        <w:rPr>
          <w:rFonts w:cs="Times New Roman"/>
          <w:highlight w:val="yellow"/>
          <w:lang w:val="ru-RU"/>
        </w:rPr>
        <w:t xml:space="preserve"> о выявлении признаков нарушений Правил благоустройства и санитарного содержания территории Артемовского гор</w:t>
      </w:r>
      <w:r>
        <w:rPr>
          <w:rFonts w:cs="Times New Roman"/>
          <w:highlight w:val="yellow"/>
          <w:lang w:val="ru-RU"/>
        </w:rPr>
        <w:t xml:space="preserve">одского округа,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(функций);</w:t>
      </w:r>
      <w:r>
        <w:rPr>
          <w:highlight w:val="yellow"/>
        </w:rPr>
      </w:r>
    </w:p>
    <w:p>
      <w:pPr>
        <w:pStyle w:val="865"/>
        <w:ind w:right="140" w:firstLine="709"/>
        <w:jc w:val="both"/>
        <w:spacing w:line="348" w:lineRule="auto"/>
        <w:rPr>
          <w:rFonts w:cs="Times New Roman"/>
          <w:highlight w:val="yellow"/>
        </w:rPr>
      </w:pPr>
      <w:r>
        <w:rPr>
          <w:rFonts w:cs="Times New Roman"/>
          <w:highlight w:val="yellow"/>
          <w:lang w:val="ru-RU"/>
        </w:rPr>
        <w:t xml:space="preserve">2) трехкратный и </w:t>
      </w:r>
      <w:r>
        <w:rPr>
          <w:rFonts w:cs="Times New Roman"/>
          <w:highlight w:val="yellow"/>
          <w:lang w:val="ru-RU"/>
        </w:rPr>
        <w:t xml:space="preserve">более рост количества обращений</w:t>
      </w:r>
      <w:r>
        <w:rPr>
          <w:rFonts w:cs="Times New Roman"/>
          <w:highlight w:val="yellow"/>
          <w:lang w:val="ru-RU"/>
        </w:rPr>
        <w:t xml:space="preserve"> о выявлении признаков нарушений обязательных требований к обеспечению доступности для инвалидов объектов социальной, инженерной и транспортно</w:t>
      </w:r>
      <w:r>
        <w:rPr>
          <w:rFonts w:cs="Times New Roman"/>
          <w:highlight w:val="yellow"/>
          <w:lang w:val="ru-RU"/>
        </w:rPr>
        <w:t xml:space="preserve">й инфраструктур и предоставляемых услуг, установленных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Федерации, изданных в целях обеспечения доступности</w:t>
      </w:r>
      <w:r>
        <w:rPr>
          <w:rFonts w:cs="Times New Roman"/>
          <w:highlight w:val="yellow"/>
          <w:lang w:val="ru-RU"/>
        </w:rPr>
        <w:t xml:space="preserve"> для инвалидов, поступивших за единицу времени (квартал) по отношению к количеству обращений, поступивших в адрес уполномоченного органа за предыдущий аналогичный период времени (квартал) через Единый портал государственных и муниципальных услуг (функций);</w:t>
      </w:r>
      <w:r>
        <w:rPr>
          <w:rFonts w:cs="Times New Roman"/>
          <w:highlight w:val="yellow"/>
        </w:rPr>
      </w:r>
    </w:p>
    <w:p>
      <w:pPr>
        <w:pStyle w:val="865"/>
        <w:ind w:right="140" w:firstLine="709"/>
        <w:jc w:val="both"/>
        <w:spacing w:line="348" w:lineRule="auto"/>
      </w:pPr>
      <w:r>
        <w:rPr>
          <w:rFonts w:cs="Times New Roman"/>
          <w:lang w:val="ru-RU"/>
        </w:rPr>
        <w:t xml:space="preserve">3) трехкратный и более рост количества обращений, поступивших за единицу времени (квартал</w:t>
      </w:r>
      <w:r>
        <w:rPr>
          <w:rFonts w:cs="Times New Roman"/>
          <w:lang w:val="ru-RU"/>
        </w:rPr>
        <w:t xml:space="preserve">)</w:t>
      </w:r>
      <w:r>
        <w:rPr>
          <w:rFonts w:cs="Times New Roman"/>
          <w:lang w:val="ru-RU"/>
        </w:rPr>
        <w:t xml:space="preserve">,</w:t>
      </w:r>
      <w:r>
        <w:rPr>
          <w:rFonts w:cs="Times New Roman"/>
          <w:lang w:val="ru-RU"/>
        </w:rPr>
        <w:t xml:space="preserve"> по отношению к количеству обращений, поступивших в адрес уполномоч</w:t>
      </w:r>
      <w:r>
        <w:rPr>
          <w:rFonts w:cs="Times New Roman"/>
          <w:lang w:val="ru-RU"/>
        </w:rPr>
        <w:t xml:space="preserve">енного органа за предыдущий аналогичный период времени (квартал) через Единый портал государственных и муниципальных услуг (функций), о складировании мусора в местах, не предусмотренных для этих целей, в том числе о непринятии своевременных мер по уборке т</w:t>
      </w:r>
      <w:r>
        <w:rPr>
          <w:rFonts w:cs="Times New Roman"/>
          <w:lang w:val="ru-RU"/>
        </w:rPr>
        <w:t xml:space="preserve">ерриторий контейнерных площадок</w:t>
      </w:r>
      <w:bookmarkStart w:id="0" w:name="_GoBack"/>
      <w:r/>
      <w:bookmarkEnd w:id="0"/>
      <w:r>
        <w:rPr>
          <w:rFonts w:cs="Times New Roman"/>
          <w:lang w:val="ru-RU"/>
        </w:rPr>
        <w:t xml:space="preserve"> (кроме </w:t>
      </w:r>
      <w:r>
        <w:rPr>
          <w:rFonts w:cs="Times New Roman"/>
          <w:lang w:val="ru-RU"/>
        </w:rPr>
        <w:t xml:space="preserve">многоквартирных домов</w:t>
      </w:r>
      <w:r>
        <w:rPr>
          <w:rFonts w:cs="Times New Roman"/>
          <w:lang w:val="ru-RU"/>
        </w:rPr>
        <w:t xml:space="preserve">).</w:t>
      </w:r>
      <w:r/>
    </w:p>
    <w:p>
      <w:pPr>
        <w:pStyle w:val="865"/>
        <w:ind w:right="140" w:firstLine="709"/>
        <w:jc w:val="both"/>
        <w:spacing w:line="348" w:lineRule="auto"/>
      </w:pPr>
      <w:r>
        <w:rPr>
          <w:rFonts w:cs="Times New Roman"/>
          <w:lang w:val="ru-RU"/>
        </w:rPr>
        <w:t xml:space="preserve">2. Поряд</w:t>
      </w:r>
      <w:r>
        <w:rPr>
          <w:rFonts w:cs="Times New Roman"/>
          <w:lang w:val="ru-RU"/>
        </w:rPr>
        <w:t xml:space="preserve">ок выявления индикаторов риска нарушения обязательных требований включает в себя сбор, обработку, анализ, учет и систематизацию сведений об объектах муниципального контроля, имеющихся у уполномоченного органа и полученных без взаимодействия с этими лицами.</w:t>
      </w:r>
      <w:r/>
    </w:p>
    <w:p>
      <w:pPr>
        <w:pStyle w:val="865"/>
        <w:ind w:right="140" w:firstLine="709"/>
        <w:jc w:val="both"/>
        <w:spacing w:line="348" w:lineRule="auto"/>
      </w:pPr>
      <w:r>
        <w:rPr>
          <w:rFonts w:cs="Times New Roman"/>
          <w:lang w:val="ru-RU"/>
        </w:rPr>
        <w:t xml:space="preserve">Уполномоченный орган в целях выявления индикаторов риска нарушения </w:t>
      </w:r>
      <w:r>
        <w:rPr>
          <w:rFonts w:cs="Times New Roman"/>
          <w:lang w:val="ru-RU"/>
        </w:rPr>
        <w:t xml:space="preserve">обязательных требований использует сведения об объектах муниципального контро</w:t>
      </w:r>
      <w:r>
        <w:rPr>
          <w:rFonts w:cs="Times New Roman"/>
          <w:lang w:val="ru-RU"/>
        </w:rPr>
        <w:t xml:space="preserve">ля, полученные из любых источников, обеспечивающих их достоверность, в том числе в ходе проведения профилактических мероприятий, из обращений юридических и физических лиц, систем межведомственного информационного взаимодействия, иных информационных систем.</w:t>
      </w:r>
      <w:r/>
    </w:p>
    <w:p>
      <w:pPr>
        <w:rPr>
          <w:lang w:val="de-DE" w:eastAsia="ja-JP" w:bidi="fa-IR"/>
        </w:rPr>
      </w:pPr>
      <w:r>
        <w:rPr>
          <w:lang w:val="de-DE" w:eastAsia="ja-JP" w:bidi="fa-IR"/>
        </w:rPr>
      </w:r>
      <w:r>
        <w:rPr>
          <w:lang w:val="de-DE" w:eastAsia="ja-JP" w:bidi="fa-IR"/>
        </w:rPr>
      </w:r>
    </w:p>
    <w:p>
      <w:pPr>
        <w:rPr>
          <w:lang w:val="de-DE" w:eastAsia="ja-JP" w:bidi="fa-IR"/>
        </w:rPr>
      </w:pPr>
      <w:r>
        <w:rPr>
          <w:lang w:val="de-DE" w:eastAsia="ja-JP" w:bidi="fa-IR"/>
        </w:rPr>
      </w:r>
      <w:r>
        <w:rPr>
          <w:lang w:val="de-DE" w:eastAsia="ja-JP" w:bidi="fa-IR"/>
        </w:rPr>
      </w:r>
    </w:p>
    <w:p>
      <w:pPr>
        <w:jc w:val="center"/>
        <w:rPr>
          <w:lang w:val="de-DE" w:eastAsia="ja-JP" w:bidi="fa-IR"/>
        </w:rPr>
      </w:pPr>
      <w:r>
        <w:rPr>
          <w:lang w:val="de-DE" w:eastAsia="ja-JP" w:bidi="fa-IR"/>
        </w:rPr>
      </w:r>
      <w:r>
        <w:rPr>
          <w:lang w:val="de-DE" w:eastAsia="ja-JP" w:bidi="fa-IR"/>
        </w:rPr>
      </w:r>
    </w:p>
    <w:sectPr>
      <w:headerReference w:type="default" r:id="rId9"/>
      <w:footnotePr/>
      <w:endnotePr/>
      <w:type w:val="nextPage"/>
      <w:pgSz w:w="11906" w:h="16838" w:orient="portrait"/>
      <w:pgMar w:top="1000" w:right="567" w:bottom="1134" w:left="1701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Andale Sans UI">
    <w:panose1 w:val="02000603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74438585"/>
      <w:docPartObj>
        <w:docPartGallery w:val="Page Numbers (Top of Page)"/>
        <w:docPartUnique w:val="true"/>
      </w:docPartObj>
      <w:rPr/>
    </w:sdtPr>
    <w:sdtContent>
      <w:p>
        <w:pPr>
          <w:pStyle w:val="711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 xml:space="preserve"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</w:r>
      </w:p>
    </w:sdtContent>
  </w:sdt>
  <w:p>
    <w:pPr>
      <w:pStyle w:val="7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1"/>
    <w:link w:val="68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1"/>
    <w:link w:val="703"/>
    <w:uiPriority w:val="10"/>
    <w:rPr>
      <w:sz w:val="48"/>
      <w:szCs w:val="48"/>
    </w:rPr>
  </w:style>
  <w:style w:type="character" w:styleId="37">
    <w:name w:val="Subtitle Char"/>
    <w:basedOn w:val="691"/>
    <w:link w:val="705"/>
    <w:uiPriority w:val="11"/>
    <w:rPr>
      <w:sz w:val="24"/>
      <w:szCs w:val="24"/>
    </w:rPr>
  </w:style>
  <w:style w:type="character" w:styleId="39">
    <w:name w:val="Quote Char"/>
    <w:link w:val="707"/>
    <w:uiPriority w:val="29"/>
    <w:rPr>
      <w:i/>
    </w:rPr>
  </w:style>
  <w:style w:type="character" w:styleId="41">
    <w:name w:val="Intense Quote Char"/>
    <w:link w:val="709"/>
    <w:uiPriority w:val="30"/>
    <w:rPr>
      <w:i/>
    </w:rPr>
  </w:style>
  <w:style w:type="character" w:styleId="43">
    <w:name w:val="Header Char"/>
    <w:basedOn w:val="691"/>
    <w:link w:val="711"/>
    <w:uiPriority w:val="99"/>
  </w:style>
  <w:style w:type="character" w:styleId="47">
    <w:name w:val="Caption Char"/>
    <w:basedOn w:val="715"/>
    <w:link w:val="713"/>
    <w:uiPriority w:val="99"/>
  </w:style>
  <w:style w:type="character" w:styleId="176">
    <w:name w:val="Footnote Text Char"/>
    <w:link w:val="844"/>
    <w:uiPriority w:val="99"/>
    <w:rPr>
      <w:sz w:val="18"/>
    </w:rPr>
  </w:style>
  <w:style w:type="character" w:styleId="179">
    <w:name w:val="Endnote Text Char"/>
    <w:link w:val="847"/>
    <w:uiPriority w:val="99"/>
    <w:rPr>
      <w:sz w:val="20"/>
    </w:rPr>
  </w:style>
  <w:style w:type="paragraph" w:styleId="681" w:default="1">
    <w:name w:val="Normal"/>
    <w:qFormat/>
  </w:style>
  <w:style w:type="paragraph" w:styleId="682">
    <w:name w:val="Heading 1"/>
    <w:basedOn w:val="681"/>
    <w:next w:val="681"/>
    <w:link w:val="69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1"/>
    <w:next w:val="681"/>
    <w:link w:val="69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4">
    <w:name w:val="Heading 3"/>
    <w:basedOn w:val="681"/>
    <w:next w:val="681"/>
    <w:link w:val="69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5">
    <w:name w:val="Heading 4"/>
    <w:basedOn w:val="681"/>
    <w:next w:val="681"/>
    <w:link w:val="69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81"/>
    <w:next w:val="681"/>
    <w:link w:val="69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681"/>
    <w:next w:val="681"/>
    <w:link w:val="69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8">
    <w:name w:val="Heading 7"/>
    <w:basedOn w:val="681"/>
    <w:next w:val="681"/>
    <w:link w:val="70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9">
    <w:name w:val="Heading 8"/>
    <w:basedOn w:val="681"/>
    <w:next w:val="681"/>
    <w:link w:val="70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0">
    <w:name w:val="Heading 9"/>
    <w:basedOn w:val="681"/>
    <w:next w:val="681"/>
    <w:link w:val="70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Заголовок 1 Знак"/>
    <w:link w:val="682"/>
    <w:uiPriority w:val="9"/>
    <w:rPr>
      <w:rFonts w:ascii="Arial" w:hAnsi="Arial" w:eastAsia="Arial" w:cs="Arial"/>
      <w:sz w:val="40"/>
      <w:szCs w:val="40"/>
    </w:rPr>
  </w:style>
  <w:style w:type="character" w:styleId="695" w:customStyle="1">
    <w:name w:val="Заголовок 2 Знак"/>
    <w:link w:val="683"/>
    <w:uiPriority w:val="9"/>
    <w:rPr>
      <w:rFonts w:ascii="Arial" w:hAnsi="Arial" w:eastAsia="Arial" w:cs="Arial"/>
      <w:sz w:val="34"/>
    </w:rPr>
  </w:style>
  <w:style w:type="character" w:styleId="696" w:customStyle="1">
    <w:name w:val="Заголовок 3 Знак"/>
    <w:link w:val="684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Заголовок 4 Знак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Заголовок 5 Знак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Заголовок 6 Знак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Заголовок 7 Знак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Заголовок 8 Знак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Заголовок 9 Знак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Title"/>
    <w:basedOn w:val="681"/>
    <w:next w:val="681"/>
    <w:link w:val="704"/>
    <w:uiPriority w:val="10"/>
    <w:qFormat/>
    <w:pPr>
      <w:contextualSpacing/>
      <w:spacing w:before="3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81"/>
    <w:next w:val="681"/>
    <w:link w:val="706"/>
    <w:uiPriority w:val="11"/>
    <w:qFormat/>
    <w:pPr>
      <w:spacing w:before="200"/>
    </w:pPr>
    <w:rPr>
      <w:sz w:val="24"/>
      <w:szCs w:val="24"/>
    </w:r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81"/>
    <w:next w:val="681"/>
    <w:link w:val="708"/>
    <w:uiPriority w:val="29"/>
    <w:qFormat/>
    <w:pPr>
      <w:ind w:left="720" w:right="720"/>
    </w:pPr>
    <w:rPr>
      <w:i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81"/>
    <w:next w:val="681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>
    <w:name w:val="Header"/>
    <w:basedOn w:val="68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Верхний колонтитул Знак"/>
    <w:link w:val="711"/>
    <w:uiPriority w:val="99"/>
  </w:style>
  <w:style w:type="paragraph" w:styleId="713">
    <w:name w:val="Footer"/>
    <w:basedOn w:val="681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>
    <w:name w:val="Caption"/>
    <w:basedOn w:val="681"/>
    <w:next w:val="681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styleId="716" w:customStyle="1">
    <w:name w:val="Нижний колонтитул Знак"/>
    <w:link w:val="713"/>
    <w:uiPriority w:val="99"/>
  </w:style>
  <w:style w:type="table" w:styleId="717">
    <w:name w:val="Table Grid"/>
    <w:basedOn w:val="69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8" w:customStyle="1">
    <w:name w:val="Table Grid Light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9">
    <w:name w:val="Plain Table 1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basedOn w:val="69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 w:customStyle="1">
    <w:name w:val="Grid Table 4 - Accent 1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7" w:customStyle="1">
    <w:name w:val="Grid Table 4 - Accent 2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8" w:customStyle="1">
    <w:name w:val="Grid Table 4 - Accent 3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9" w:customStyle="1">
    <w:name w:val="Grid Table 4 - Accent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0" w:customStyle="1">
    <w:name w:val="Grid Table 4 - Accent 5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1" w:customStyle="1">
    <w:name w:val="Grid Table 4 - Accent 6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2">
    <w:name w:val="Grid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9">
    <w:name w:val="Grid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1" w:customStyle="1">
    <w:name w:val="Grid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2" w:customStyle="1">
    <w:name w:val="Grid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3" w:customStyle="1">
    <w:name w:val="Grid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4" w:customStyle="1">
    <w:name w:val="Grid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 w:customStyle="1">
    <w:name w:val="Grid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6">
    <w:name w:val="Grid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1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2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6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>
    <w:name w:val="List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9" w:customStyle="1">
    <w:name w:val="List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0" w:customStyle="1">
    <w:name w:val="List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1" w:customStyle="1">
    <w:name w:val="List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2" w:customStyle="1">
    <w:name w:val="List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3" w:customStyle="1">
    <w:name w:val="List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4" w:customStyle="1">
    <w:name w:val="List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5">
    <w:name w:val="List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 &amp; 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Bordered &amp; 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1" w:customStyle="1">
    <w:name w:val="Bordered &amp; 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2" w:customStyle="1">
    <w:name w:val="Bordered &amp; 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3" w:customStyle="1">
    <w:name w:val="Bordered &amp; 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4" w:customStyle="1">
    <w:name w:val="Bordered &amp; 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5" w:customStyle="1">
    <w:name w:val="Bordered &amp; 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6" w:customStyle="1">
    <w:name w:val="Bordered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7" w:customStyle="1">
    <w:name w:val="Bordered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8" w:customStyle="1">
    <w:name w:val="Bordered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9" w:customStyle="1">
    <w:name w:val="Bordered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0" w:customStyle="1">
    <w:name w:val="Bordered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1" w:customStyle="1">
    <w:name w:val="Bordered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2" w:customStyle="1">
    <w:name w:val="Bordered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563c1" w:themeColor="hyperlink"/>
      <w:u w:val="single"/>
    </w:rPr>
  </w:style>
  <w:style w:type="paragraph" w:styleId="844">
    <w:name w:val="footnote text"/>
    <w:basedOn w:val="68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8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81"/>
    <w:next w:val="681"/>
    <w:uiPriority w:val="39"/>
    <w:unhideWhenUsed/>
    <w:pPr>
      <w:spacing w:after="57"/>
    </w:pPr>
  </w:style>
  <w:style w:type="paragraph" w:styleId="851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2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3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54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55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56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57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58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1"/>
    <w:next w:val="681"/>
    <w:uiPriority w:val="99"/>
    <w:unhideWhenUsed/>
    <w:pPr>
      <w:spacing w:after="0"/>
    </w:pPr>
  </w:style>
  <w:style w:type="paragraph" w:styleId="861">
    <w:name w:val="No Spacing"/>
    <w:basedOn w:val="681"/>
    <w:uiPriority w:val="1"/>
    <w:qFormat/>
    <w:pPr>
      <w:spacing w:after="0" w:line="240" w:lineRule="auto"/>
    </w:pPr>
  </w:style>
  <w:style w:type="paragraph" w:styleId="862">
    <w:name w:val="List Paragraph"/>
    <w:basedOn w:val="681"/>
    <w:uiPriority w:val="34"/>
    <w:qFormat/>
    <w:pPr>
      <w:contextualSpacing/>
      <w:ind w:left="720"/>
    </w:pPr>
  </w:style>
  <w:style w:type="paragraph" w:styleId="863" w:customStyle="1">
    <w:name w:val="ConsPlusTitle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 w:cs="Times New Roman"/>
      <w:b/>
      <w:sz w:val="24"/>
      <w:lang w:eastAsia="ru-RU"/>
    </w:rPr>
  </w:style>
  <w:style w:type="paragraph" w:styleId="864" w:customStyle="1">
    <w:name w:val="ConsPlusNormal"/>
    <w:pPr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sz w:val="16"/>
      <w:szCs w:val="20"/>
      <w:lang w:val="en-US" w:eastAsia="zh-CN"/>
    </w:rPr>
  </w:style>
  <w:style w:type="paragraph" w:styleId="865" w:customStyle="1">
    <w:name w:val="Standard"/>
    <w:pPr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Andale Sans UI" w:cs="Tahoma"/>
      <w:sz w:val="24"/>
      <w:szCs w:val="24"/>
      <w:lang w:val="de-DE" w:eastAsia="ja-JP" w:bidi="fa-I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zhevtun</cp:lastModifiedBy>
  <cp:revision>17</cp:revision>
  <dcterms:created xsi:type="dcterms:W3CDTF">2025-09-23T06:32:00Z</dcterms:created>
  <dcterms:modified xsi:type="dcterms:W3CDTF">2025-11-07T02:07:09Z</dcterms:modified>
</cp:coreProperties>
</file>